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54E30" w14:textId="74EE82BF" w:rsidR="00E448A4" w:rsidRDefault="00514657" w:rsidP="00514657">
      <w:pPr>
        <w:pStyle w:val="Body"/>
        <w:jc w:val="center"/>
        <w:rPr>
          <w:sz w:val="26"/>
          <w:szCs w:val="26"/>
        </w:rPr>
      </w:pPr>
      <w:r>
        <w:rPr>
          <w:sz w:val="26"/>
          <w:szCs w:val="26"/>
        </w:rPr>
        <w:t>2017-2018</w:t>
      </w:r>
      <w:r w:rsidR="00402235">
        <w:rPr>
          <w:sz w:val="26"/>
          <w:szCs w:val="26"/>
        </w:rPr>
        <w:t xml:space="preserve"> Advanced Placement United States History </w:t>
      </w:r>
      <w:proofErr w:type="gramStart"/>
      <w:r w:rsidR="00402235">
        <w:rPr>
          <w:sz w:val="26"/>
          <w:szCs w:val="26"/>
        </w:rPr>
        <w:t>Syllabus</w:t>
      </w:r>
      <w:proofErr w:type="gramEnd"/>
    </w:p>
    <w:p w14:paraId="35257BF4" w14:textId="77777777" w:rsidR="00E448A4" w:rsidRDefault="00402235">
      <w:pPr>
        <w:pStyle w:val="Body"/>
        <w:rPr>
          <w:sz w:val="26"/>
          <w:szCs w:val="26"/>
        </w:rPr>
      </w:pPr>
      <w:r>
        <w:rPr>
          <w:sz w:val="26"/>
          <w:szCs w:val="26"/>
        </w:rPr>
        <w:t>Teacher: Amy Parker</w:t>
      </w:r>
    </w:p>
    <w:p w14:paraId="7A11047F" w14:textId="4CFA4E52" w:rsidR="00E448A4" w:rsidRDefault="00514657">
      <w:pPr>
        <w:pStyle w:val="Body"/>
        <w:rPr>
          <w:sz w:val="26"/>
          <w:szCs w:val="26"/>
        </w:rPr>
      </w:pPr>
      <w:r>
        <w:rPr>
          <w:sz w:val="26"/>
          <w:szCs w:val="26"/>
        </w:rPr>
        <w:t>Room: 801</w:t>
      </w:r>
    </w:p>
    <w:p w14:paraId="79E67990" w14:textId="77777777" w:rsidR="00E448A4" w:rsidRDefault="00402235">
      <w:pPr>
        <w:pStyle w:val="Body"/>
        <w:rPr>
          <w:sz w:val="26"/>
          <w:szCs w:val="26"/>
        </w:rPr>
      </w:pPr>
      <w:r>
        <w:rPr>
          <w:sz w:val="26"/>
          <w:szCs w:val="26"/>
        </w:rPr>
        <w:t>Email: parkera@santarosa.k12.fl.us</w:t>
      </w:r>
    </w:p>
    <w:p w14:paraId="19D28C37" w14:textId="77777777" w:rsidR="00E448A4" w:rsidRDefault="00E448A4">
      <w:pPr>
        <w:pStyle w:val="Body"/>
      </w:pPr>
    </w:p>
    <w:p w14:paraId="3D59DA0B" w14:textId="77777777" w:rsidR="00E448A4" w:rsidRDefault="00402235">
      <w:pPr>
        <w:pStyle w:val="Body"/>
        <w:rPr>
          <w:b/>
          <w:bCs/>
          <w:sz w:val="24"/>
          <w:szCs w:val="24"/>
          <w:u w:val="single"/>
        </w:rPr>
      </w:pPr>
      <w:r>
        <w:rPr>
          <w:b/>
          <w:bCs/>
          <w:sz w:val="24"/>
          <w:szCs w:val="24"/>
          <w:u w:val="single"/>
        </w:rPr>
        <w:t>COURSE DESCRIPTION</w:t>
      </w:r>
    </w:p>
    <w:p w14:paraId="3B0EBD73" w14:textId="77777777" w:rsidR="00E448A4" w:rsidRDefault="00402235">
      <w:pPr>
        <w:pStyle w:val="Body"/>
      </w:pPr>
      <w:r>
        <w:t>Advanced Placement U.S. History is a college-level introductory course which examines the nation</w:t>
      </w:r>
      <w:r>
        <w:rPr>
          <w:rFonts w:ascii="Arial Unicode MS" w:hAnsi="Helvetica"/>
        </w:rPr>
        <w:t>’</w:t>
      </w:r>
      <w:r>
        <w:t>s political, diplomatic, intellectual, cultural, social, and economic history from 1491 to the present.  A variety of instructional approaches are employed and a college level textbook is supplemented by primary and secondary sources.</w:t>
      </w:r>
    </w:p>
    <w:p w14:paraId="3F86BC5E" w14:textId="77777777" w:rsidR="00E448A4" w:rsidRDefault="00E448A4">
      <w:pPr>
        <w:pStyle w:val="Body"/>
      </w:pPr>
    </w:p>
    <w:p w14:paraId="2EF548F4" w14:textId="77777777" w:rsidR="00E448A4" w:rsidRDefault="00402235">
      <w:pPr>
        <w:pStyle w:val="Body"/>
        <w:rPr>
          <w:b/>
          <w:bCs/>
          <w:sz w:val="24"/>
          <w:szCs w:val="24"/>
          <w:u w:val="single"/>
        </w:rPr>
      </w:pPr>
      <w:r>
        <w:rPr>
          <w:b/>
          <w:bCs/>
          <w:sz w:val="24"/>
          <w:szCs w:val="24"/>
          <w:u w:val="single"/>
        </w:rPr>
        <w:t>COURSE ORGANIZATION</w:t>
      </w:r>
    </w:p>
    <w:p w14:paraId="12FC7436" w14:textId="77777777" w:rsidR="00E448A4" w:rsidRDefault="00402235">
      <w:pPr>
        <w:pStyle w:val="Body"/>
      </w:pPr>
      <w:r>
        <w:t>The course is organized around A.P. U.S. History</w:t>
      </w:r>
      <w:r>
        <w:rPr>
          <w:rFonts w:ascii="Arial Unicode MS" w:hAnsi="Helvetica"/>
        </w:rPr>
        <w:t>’</w:t>
      </w:r>
      <w:r>
        <w:t>s seven major themes: Identity (ID); Work, Exchange and Technology (WXT); Peopling (PEO); Politics and Power (POL); America in the World (WOR); Environment and Geography - Physical and Human (ENV); Ideas, Belief, and Culture (CUL).  The major themes are prescribed by College Board and are designed to develop the student</w:t>
      </w:r>
      <w:r>
        <w:rPr>
          <w:rFonts w:ascii="Arial Unicode MS" w:hAnsi="Helvetica"/>
        </w:rPr>
        <w:t>’</w:t>
      </w:r>
      <w:r>
        <w:t xml:space="preserve">s historical thinking skills. </w:t>
      </w:r>
    </w:p>
    <w:p w14:paraId="7A02FE9A" w14:textId="77777777" w:rsidR="00E448A4" w:rsidRDefault="00E448A4">
      <w:pPr>
        <w:pStyle w:val="Body"/>
      </w:pPr>
    </w:p>
    <w:p w14:paraId="5FEE429E" w14:textId="77777777" w:rsidR="00E448A4" w:rsidRDefault="00402235">
      <w:pPr>
        <w:pStyle w:val="Body"/>
      </w:pPr>
      <w:r>
        <w:rPr>
          <w:b/>
          <w:bCs/>
          <w:sz w:val="24"/>
          <w:szCs w:val="24"/>
          <w:u w:val="single"/>
        </w:rPr>
        <w:t>UNITS:</w:t>
      </w:r>
      <w:r>
        <w:rPr>
          <w:sz w:val="24"/>
          <w:szCs w:val="24"/>
        </w:rPr>
        <w:t xml:space="preserve"> </w:t>
      </w:r>
      <w:r>
        <w:t xml:space="preserve"> </w:t>
      </w:r>
    </w:p>
    <w:p w14:paraId="527E9E29" w14:textId="77777777" w:rsidR="00E448A4" w:rsidRDefault="00402235">
      <w:pPr>
        <w:pStyle w:val="Body"/>
        <w:numPr>
          <w:ilvl w:val="0"/>
          <w:numId w:val="2"/>
        </w:numPr>
        <w:rPr>
          <w:rFonts w:eastAsia="Helvetica" w:hAnsi="Helvetica" w:cs="Helvetica"/>
        </w:rPr>
      </w:pPr>
      <w:r>
        <w:t xml:space="preserve"> 1491-1607</w:t>
      </w:r>
    </w:p>
    <w:p w14:paraId="5E8660E9" w14:textId="77777777" w:rsidR="00E448A4" w:rsidRDefault="00402235">
      <w:pPr>
        <w:pStyle w:val="Body"/>
        <w:numPr>
          <w:ilvl w:val="0"/>
          <w:numId w:val="2"/>
        </w:numPr>
        <w:rPr>
          <w:rFonts w:eastAsia="Helvetica" w:hAnsi="Helvetica" w:cs="Helvetica"/>
        </w:rPr>
      </w:pPr>
      <w:r>
        <w:t xml:space="preserve"> 1607-1754</w:t>
      </w:r>
    </w:p>
    <w:p w14:paraId="6440B890" w14:textId="77777777" w:rsidR="00E448A4" w:rsidRDefault="00402235">
      <w:pPr>
        <w:pStyle w:val="Body"/>
        <w:numPr>
          <w:ilvl w:val="0"/>
          <w:numId w:val="2"/>
        </w:numPr>
        <w:rPr>
          <w:rFonts w:eastAsia="Helvetica" w:hAnsi="Helvetica" w:cs="Helvetica"/>
        </w:rPr>
      </w:pPr>
      <w:r>
        <w:t xml:space="preserve"> 1754-1800</w:t>
      </w:r>
    </w:p>
    <w:p w14:paraId="21F55810" w14:textId="77777777" w:rsidR="00E448A4" w:rsidRDefault="00402235">
      <w:pPr>
        <w:pStyle w:val="Body"/>
        <w:numPr>
          <w:ilvl w:val="0"/>
          <w:numId w:val="2"/>
        </w:numPr>
        <w:rPr>
          <w:rFonts w:eastAsia="Helvetica" w:hAnsi="Helvetica" w:cs="Helvetica"/>
        </w:rPr>
      </w:pPr>
      <w:r>
        <w:t xml:space="preserve"> 1800-1848</w:t>
      </w:r>
    </w:p>
    <w:p w14:paraId="5C4018EE" w14:textId="77777777" w:rsidR="00E448A4" w:rsidRDefault="00402235">
      <w:pPr>
        <w:pStyle w:val="Body"/>
        <w:numPr>
          <w:ilvl w:val="0"/>
          <w:numId w:val="2"/>
        </w:numPr>
        <w:rPr>
          <w:rFonts w:eastAsia="Helvetica" w:hAnsi="Helvetica" w:cs="Helvetica"/>
        </w:rPr>
      </w:pPr>
      <w:r>
        <w:t xml:space="preserve"> 1844-1877</w:t>
      </w:r>
    </w:p>
    <w:p w14:paraId="2209485E" w14:textId="77777777" w:rsidR="00E448A4" w:rsidRDefault="00402235">
      <w:pPr>
        <w:pStyle w:val="Body"/>
        <w:numPr>
          <w:ilvl w:val="0"/>
          <w:numId w:val="2"/>
        </w:numPr>
        <w:rPr>
          <w:rFonts w:eastAsia="Helvetica" w:hAnsi="Helvetica" w:cs="Helvetica"/>
        </w:rPr>
      </w:pPr>
      <w:r>
        <w:t xml:space="preserve"> 1865-1900</w:t>
      </w:r>
    </w:p>
    <w:p w14:paraId="5929F2D2" w14:textId="77777777" w:rsidR="00E448A4" w:rsidRDefault="00402235">
      <w:pPr>
        <w:pStyle w:val="Body"/>
        <w:numPr>
          <w:ilvl w:val="0"/>
          <w:numId w:val="2"/>
        </w:numPr>
        <w:rPr>
          <w:rFonts w:eastAsia="Helvetica" w:hAnsi="Helvetica" w:cs="Helvetica"/>
        </w:rPr>
      </w:pPr>
      <w:r>
        <w:t xml:space="preserve"> 1890-1945</w:t>
      </w:r>
    </w:p>
    <w:p w14:paraId="395556BA" w14:textId="77777777" w:rsidR="00E448A4" w:rsidRDefault="00402235">
      <w:pPr>
        <w:pStyle w:val="Body"/>
        <w:numPr>
          <w:ilvl w:val="0"/>
          <w:numId w:val="2"/>
        </w:numPr>
        <w:rPr>
          <w:rFonts w:eastAsia="Helvetica" w:hAnsi="Helvetica" w:cs="Helvetica"/>
        </w:rPr>
      </w:pPr>
      <w:r>
        <w:t xml:space="preserve"> 1945-1989</w:t>
      </w:r>
    </w:p>
    <w:p w14:paraId="19ED01C1" w14:textId="77777777" w:rsidR="00E448A4" w:rsidRDefault="00402235">
      <w:pPr>
        <w:pStyle w:val="Body"/>
        <w:numPr>
          <w:ilvl w:val="0"/>
          <w:numId w:val="2"/>
        </w:numPr>
        <w:rPr>
          <w:rFonts w:eastAsia="Helvetica" w:hAnsi="Helvetica" w:cs="Helvetica"/>
        </w:rPr>
      </w:pPr>
      <w:r>
        <w:t xml:space="preserve"> 1980-present</w:t>
      </w:r>
    </w:p>
    <w:p w14:paraId="3468F6F8" w14:textId="77777777" w:rsidR="00E448A4" w:rsidRDefault="00E448A4">
      <w:pPr>
        <w:pStyle w:val="Body"/>
      </w:pPr>
    </w:p>
    <w:p w14:paraId="39D7683A" w14:textId="77777777" w:rsidR="00E448A4" w:rsidRDefault="00402235">
      <w:pPr>
        <w:pStyle w:val="Body"/>
        <w:rPr>
          <w:b/>
          <w:bCs/>
          <w:sz w:val="24"/>
          <w:szCs w:val="24"/>
          <w:u w:val="single"/>
        </w:rPr>
      </w:pPr>
      <w:r>
        <w:rPr>
          <w:b/>
          <w:bCs/>
          <w:sz w:val="24"/>
          <w:szCs w:val="24"/>
          <w:u w:val="single"/>
        </w:rPr>
        <w:t>Each unit will contain the following activities:</w:t>
      </w:r>
    </w:p>
    <w:p w14:paraId="17C654A3" w14:textId="77777777" w:rsidR="00E448A4" w:rsidRDefault="00E448A4">
      <w:pPr>
        <w:pStyle w:val="Body"/>
      </w:pPr>
    </w:p>
    <w:p w14:paraId="2EA9A358" w14:textId="77777777" w:rsidR="00E448A4" w:rsidRDefault="00402235">
      <w:pPr>
        <w:pStyle w:val="Body"/>
      </w:pPr>
      <w:r>
        <w:rPr>
          <w:b/>
          <w:bCs/>
        </w:rPr>
        <w:t>Lecture and discussion of topics</w:t>
      </w:r>
      <w:r>
        <w:t>: Students will participate in discussions based on course topics.  Reading quiz content is embedded in class discussions.</w:t>
      </w:r>
    </w:p>
    <w:p w14:paraId="3CEC2E4D" w14:textId="77777777" w:rsidR="00E448A4" w:rsidRDefault="00E448A4">
      <w:pPr>
        <w:pStyle w:val="Body"/>
      </w:pPr>
    </w:p>
    <w:p w14:paraId="4BB916D0" w14:textId="77777777" w:rsidR="00E448A4" w:rsidRDefault="00402235">
      <w:pPr>
        <w:pStyle w:val="Body"/>
      </w:pPr>
      <w:r>
        <w:rPr>
          <w:b/>
          <w:bCs/>
        </w:rPr>
        <w:t xml:space="preserve">Primary Source Analysis: </w:t>
      </w:r>
      <w:r>
        <w:t xml:space="preserve"> Students analyze primary sources using notecards on which they identify, analyze, and evaluate each of the sources.  Students analyze the sources for two or more of the following features: historical context, purpose, and intended audience, the author</w:t>
      </w:r>
      <w:r>
        <w:rPr>
          <w:rFonts w:ascii="Arial Unicode MS" w:hAnsi="Helvetica"/>
        </w:rPr>
        <w:t>’</w:t>
      </w:r>
      <w:r>
        <w:t>s point of view, type of source, argument and tone.  (Appropriate use of historical evidence.)</w:t>
      </w:r>
    </w:p>
    <w:p w14:paraId="16AD1769" w14:textId="77777777" w:rsidR="00E448A4" w:rsidRDefault="00E448A4">
      <w:pPr>
        <w:pStyle w:val="Body"/>
      </w:pPr>
    </w:p>
    <w:p w14:paraId="6F78B48D" w14:textId="77777777" w:rsidR="00E448A4" w:rsidRDefault="00402235">
      <w:pPr>
        <w:pStyle w:val="Body"/>
      </w:pPr>
      <w:r>
        <w:rPr>
          <w:b/>
          <w:bCs/>
        </w:rPr>
        <w:t>Author</w:t>
      </w:r>
      <w:r>
        <w:rPr>
          <w:rFonts w:ascii="Arial Unicode MS" w:hAnsi="Helvetica"/>
          <w:b/>
          <w:bCs/>
        </w:rPr>
        <w:t>’</w:t>
      </w:r>
      <w:r>
        <w:rPr>
          <w:b/>
          <w:bCs/>
        </w:rPr>
        <w:t>s Thesis Paper (ATP):</w:t>
      </w:r>
      <w:r>
        <w:t xml:space="preserve"> Students are provided with opposing viewpoints expressed in either primary or secondary source documents and in writing must determine the following:</w:t>
      </w:r>
    </w:p>
    <w:p w14:paraId="04B36AC1" w14:textId="77777777" w:rsidR="00E448A4" w:rsidRDefault="00402235">
      <w:pPr>
        <w:pStyle w:val="Body"/>
      </w:pPr>
      <w:r>
        <w:t>The Thesis:</w:t>
      </w:r>
    </w:p>
    <w:p w14:paraId="72132662" w14:textId="77777777" w:rsidR="00E448A4" w:rsidRDefault="00402235">
      <w:pPr>
        <w:pStyle w:val="Body"/>
        <w:numPr>
          <w:ilvl w:val="0"/>
          <w:numId w:val="4"/>
        </w:numPr>
        <w:rPr>
          <w:rFonts w:eastAsia="Helvetica" w:hAnsi="Helvetica" w:cs="Helvetica"/>
          <w:sz w:val="26"/>
          <w:szCs w:val="26"/>
        </w:rPr>
      </w:pPr>
      <w:r>
        <w:t>What is the main argument of each author?</w:t>
      </w:r>
    </w:p>
    <w:p w14:paraId="63B46740" w14:textId="77777777" w:rsidR="00E448A4" w:rsidRDefault="00402235">
      <w:pPr>
        <w:pStyle w:val="Body"/>
      </w:pPr>
      <w:r>
        <w:t>Evidence:</w:t>
      </w:r>
    </w:p>
    <w:p w14:paraId="1AE9E096" w14:textId="77777777" w:rsidR="00E448A4" w:rsidRDefault="00402235">
      <w:pPr>
        <w:pStyle w:val="Body"/>
        <w:numPr>
          <w:ilvl w:val="0"/>
          <w:numId w:val="5"/>
        </w:numPr>
        <w:rPr>
          <w:rFonts w:eastAsia="Helvetica" w:hAnsi="Helvetica" w:cs="Helvetica"/>
          <w:sz w:val="26"/>
          <w:szCs w:val="26"/>
        </w:rPr>
      </w:pPr>
      <w:r>
        <w:t>Looking at the supporting evidence, analyze whether they are logically interpreted by the authors.  Do they clearly support the thesis?</w:t>
      </w:r>
    </w:p>
    <w:p w14:paraId="1959A845" w14:textId="77777777" w:rsidR="00E448A4" w:rsidRDefault="00402235">
      <w:pPr>
        <w:pStyle w:val="Body"/>
      </w:pPr>
      <w:r>
        <w:t>Critical Analysis:</w:t>
      </w:r>
    </w:p>
    <w:p w14:paraId="1F992760" w14:textId="77777777" w:rsidR="00E448A4" w:rsidRDefault="00402235">
      <w:pPr>
        <w:pStyle w:val="Body"/>
        <w:numPr>
          <w:ilvl w:val="0"/>
          <w:numId w:val="6"/>
        </w:numPr>
        <w:rPr>
          <w:rFonts w:eastAsia="Helvetica" w:hAnsi="Helvetica" w:cs="Helvetica"/>
          <w:sz w:val="26"/>
          <w:szCs w:val="26"/>
        </w:rPr>
      </w:pPr>
      <w:r>
        <w:lastRenderedPageBreak/>
        <w:t>What do the sources add to your own understanding of the topic?</w:t>
      </w:r>
    </w:p>
    <w:p w14:paraId="51884C37" w14:textId="77777777" w:rsidR="00E448A4" w:rsidRDefault="00402235">
      <w:pPr>
        <w:pStyle w:val="Body"/>
        <w:numPr>
          <w:ilvl w:val="0"/>
          <w:numId w:val="7"/>
        </w:numPr>
        <w:rPr>
          <w:rFonts w:eastAsia="Helvetica" w:hAnsi="Helvetica" w:cs="Helvetica"/>
          <w:sz w:val="26"/>
          <w:szCs w:val="26"/>
        </w:rPr>
      </w:pPr>
      <w:r>
        <w:t>What points are strongly made and well documented?</w:t>
      </w:r>
    </w:p>
    <w:p w14:paraId="74E0B89D" w14:textId="77777777" w:rsidR="00E448A4" w:rsidRDefault="00402235">
      <w:pPr>
        <w:pStyle w:val="Body"/>
      </w:pPr>
      <w:r>
        <w:t xml:space="preserve">Final Analysis: (Your opinion is expressed here without the use of any form of the pronoun </w:t>
      </w:r>
      <w:r>
        <w:rPr>
          <w:rFonts w:ascii="Arial Unicode MS" w:hAnsi="Helvetica"/>
        </w:rPr>
        <w:t>“</w:t>
      </w:r>
      <w:r>
        <w:t>I</w:t>
      </w:r>
      <w:r>
        <w:rPr>
          <w:rFonts w:ascii="Arial Unicode MS" w:hAnsi="Helvetica"/>
        </w:rPr>
        <w:t>”</w:t>
      </w:r>
      <w:r>
        <w:t>.)</w:t>
      </w:r>
    </w:p>
    <w:p w14:paraId="6C1748AF" w14:textId="77777777" w:rsidR="00E448A4" w:rsidRDefault="00402235">
      <w:pPr>
        <w:pStyle w:val="Body"/>
        <w:numPr>
          <w:ilvl w:val="0"/>
          <w:numId w:val="8"/>
        </w:numPr>
        <w:rPr>
          <w:rFonts w:eastAsia="Helvetica" w:hAnsi="Helvetica" w:cs="Helvetica"/>
          <w:sz w:val="26"/>
          <w:szCs w:val="26"/>
        </w:rPr>
      </w:pPr>
      <w:r>
        <w:t>Which of the sources makes the most convincing case and why?</w:t>
      </w:r>
    </w:p>
    <w:p w14:paraId="544C3FE8" w14:textId="77777777" w:rsidR="00E448A4" w:rsidRDefault="00E448A4">
      <w:pPr>
        <w:pStyle w:val="Body"/>
      </w:pPr>
    </w:p>
    <w:p w14:paraId="0C3C9B80" w14:textId="77777777" w:rsidR="00E448A4" w:rsidRDefault="00402235">
      <w:pPr>
        <w:pStyle w:val="Body"/>
      </w:pPr>
      <w:r>
        <w:rPr>
          <w:b/>
          <w:bCs/>
        </w:rPr>
        <w:t>You Be the Judge (YBJ):</w:t>
      </w:r>
      <w:r>
        <w:t xml:space="preserve">  Students analyze disparate primary source documents on the same topic.  Students then compare and contrast the viewpoints expressed in the documents, and - supported by the evidence presented, and in the context of the historical period - determine which authors made the better case.</w:t>
      </w:r>
    </w:p>
    <w:p w14:paraId="0C26266A" w14:textId="77777777" w:rsidR="00E448A4" w:rsidRDefault="00E448A4">
      <w:pPr>
        <w:pStyle w:val="Body"/>
      </w:pPr>
    </w:p>
    <w:p w14:paraId="2E9C6ABA" w14:textId="77777777" w:rsidR="00E448A4" w:rsidRDefault="00402235">
      <w:pPr>
        <w:pStyle w:val="Body"/>
      </w:pPr>
      <w:r>
        <w:rPr>
          <w:b/>
          <w:bCs/>
        </w:rPr>
        <w:t>DBQ Deconstruction:</w:t>
      </w:r>
      <w:r>
        <w:t xml:space="preserve">  Students, working in groups, will read the sources from and debate the question posed by the DBQ.</w:t>
      </w:r>
    </w:p>
    <w:p w14:paraId="4EE041C5" w14:textId="77777777" w:rsidR="00E448A4" w:rsidRDefault="00E448A4">
      <w:pPr>
        <w:pStyle w:val="Body"/>
      </w:pPr>
    </w:p>
    <w:p w14:paraId="0C480AA5" w14:textId="77777777" w:rsidR="00E448A4" w:rsidRDefault="00402235">
      <w:pPr>
        <w:pStyle w:val="Body"/>
      </w:pPr>
      <w:r>
        <w:rPr>
          <w:b/>
          <w:bCs/>
        </w:rPr>
        <w:t>Chronological Reasoning Lesson:</w:t>
      </w:r>
      <w:r>
        <w:t xml:space="preserve"> Students are provided with ten events, in no particular chronological order, which they will then place in order, naming the decade in which each occurred.</w:t>
      </w:r>
    </w:p>
    <w:p w14:paraId="42CD1AE2" w14:textId="77777777" w:rsidR="00E448A4" w:rsidRDefault="00E448A4">
      <w:pPr>
        <w:pStyle w:val="Body"/>
      </w:pPr>
    </w:p>
    <w:p w14:paraId="518D19C1" w14:textId="77777777" w:rsidR="00E448A4" w:rsidRDefault="00402235">
      <w:pPr>
        <w:pStyle w:val="Body"/>
      </w:pPr>
      <w:r>
        <w:t>Students will complete the exercise by providing the following:</w:t>
      </w:r>
    </w:p>
    <w:p w14:paraId="2D21F029" w14:textId="77777777" w:rsidR="00E448A4" w:rsidRDefault="00402235">
      <w:pPr>
        <w:pStyle w:val="Body"/>
      </w:pPr>
      <w:r>
        <w:tab/>
        <w:t>1. Identify the period in which these occur;</w:t>
      </w:r>
    </w:p>
    <w:p w14:paraId="0A070FB8" w14:textId="77777777" w:rsidR="00E448A4" w:rsidRDefault="00402235">
      <w:pPr>
        <w:pStyle w:val="Body"/>
      </w:pPr>
      <w:r>
        <w:tab/>
        <w:t>2. Identify continuity and change over time exemplified by the selections; and</w:t>
      </w:r>
    </w:p>
    <w:p w14:paraId="4BF2A982" w14:textId="77777777" w:rsidR="00E448A4" w:rsidRDefault="00402235">
      <w:pPr>
        <w:pStyle w:val="Body"/>
      </w:pPr>
      <w:r>
        <w:tab/>
        <w:t xml:space="preserve">3. Identify the theme(s) under which these issues and developments might be </w:t>
      </w:r>
      <w:r>
        <w:tab/>
      </w:r>
      <w:r>
        <w:tab/>
      </w:r>
      <w:r>
        <w:tab/>
        <w:t xml:space="preserve">    categorized.</w:t>
      </w:r>
    </w:p>
    <w:p w14:paraId="375DCBC0" w14:textId="77777777" w:rsidR="00E448A4" w:rsidRDefault="00E448A4">
      <w:pPr>
        <w:pStyle w:val="Body"/>
      </w:pPr>
    </w:p>
    <w:p w14:paraId="245E5154" w14:textId="390882ED" w:rsidR="00E448A4" w:rsidRDefault="00514657">
      <w:pPr>
        <w:pStyle w:val="Body"/>
      </w:pPr>
      <w:r>
        <w:rPr>
          <w:b/>
          <w:bCs/>
        </w:rPr>
        <w:t>Unit Tests</w:t>
      </w:r>
      <w:r w:rsidR="00402235">
        <w:rPr>
          <w:b/>
          <w:bCs/>
        </w:rPr>
        <w:t>:</w:t>
      </w:r>
      <w:r>
        <w:t xml:space="preserve">  A heavily weighted test</w:t>
      </w:r>
      <w:r w:rsidR="00402235">
        <w:t xml:space="preserve"> will be given at the end of each unit.  The exam will have three components: </w:t>
      </w:r>
      <w:proofErr w:type="gramStart"/>
      <w:r w:rsidR="00402235">
        <w:t>multiple choice</w:t>
      </w:r>
      <w:proofErr w:type="gramEnd"/>
      <w:r w:rsidR="00402235">
        <w:t xml:space="preserve"> questions (MC), short answer questions (SA), and</w:t>
      </w:r>
      <w:r>
        <w:t>/or</w:t>
      </w:r>
      <w:r w:rsidR="00402235">
        <w:t xml:space="preserve"> either a free response essay (FRQ) or a document based question (DBQ).  Each component of the exam will emphasize the application of historical thinking skills to answer the question.  Information from prior units is often a critical component of the response.</w:t>
      </w:r>
    </w:p>
    <w:p w14:paraId="5162CF6B" w14:textId="77777777" w:rsidR="00E448A4" w:rsidRDefault="00E448A4">
      <w:pPr>
        <w:pStyle w:val="Body"/>
      </w:pPr>
    </w:p>
    <w:p w14:paraId="56BC15C9" w14:textId="77777777" w:rsidR="00E448A4" w:rsidRDefault="00402235">
      <w:pPr>
        <w:pStyle w:val="Body"/>
        <w:rPr>
          <w:b/>
          <w:bCs/>
          <w:sz w:val="24"/>
          <w:szCs w:val="24"/>
          <w:u w:val="single"/>
        </w:rPr>
      </w:pPr>
      <w:r>
        <w:rPr>
          <w:b/>
          <w:bCs/>
          <w:sz w:val="24"/>
          <w:szCs w:val="24"/>
          <w:u w:val="single"/>
        </w:rPr>
        <w:t>Grading Criteria:</w:t>
      </w:r>
    </w:p>
    <w:p w14:paraId="089C98AA" w14:textId="57005CA1" w:rsidR="00E448A4" w:rsidRDefault="00514657">
      <w:pPr>
        <w:pStyle w:val="Body"/>
      </w:pPr>
      <w:r>
        <w:t>Classwork and Notebook Checks</w:t>
      </w:r>
      <w:r w:rsidR="00402235">
        <w:t xml:space="preserve"> 15%</w:t>
      </w:r>
    </w:p>
    <w:p w14:paraId="7A9960A9" w14:textId="77777777" w:rsidR="00E448A4" w:rsidRDefault="00402235">
      <w:pPr>
        <w:pStyle w:val="Body"/>
      </w:pPr>
      <w:r>
        <w:t>Unit Tests 20%</w:t>
      </w:r>
    </w:p>
    <w:p w14:paraId="691E285B" w14:textId="6EEC0C95" w:rsidR="00E448A4" w:rsidRDefault="00402235">
      <w:pPr>
        <w:pStyle w:val="Body"/>
      </w:pPr>
      <w:r>
        <w:t>Writing (DBQ, FRQ</w:t>
      </w:r>
      <w:r w:rsidR="00ED303C">
        <w:t>, SAQ</w:t>
      </w:r>
      <w:bookmarkStart w:id="0" w:name="_GoBack"/>
      <w:bookmarkEnd w:id="0"/>
      <w:r>
        <w:t>) 15%</w:t>
      </w:r>
    </w:p>
    <w:p w14:paraId="44FF19BA" w14:textId="77777777" w:rsidR="00E448A4" w:rsidRDefault="00402235">
      <w:pPr>
        <w:pStyle w:val="Body"/>
      </w:pPr>
      <w:r>
        <w:t>Reading Quizzes 10%</w:t>
      </w:r>
    </w:p>
    <w:p w14:paraId="098AD947" w14:textId="77777777" w:rsidR="00E448A4" w:rsidRDefault="00402235">
      <w:pPr>
        <w:pStyle w:val="Body"/>
      </w:pPr>
      <w:r>
        <w:t>Reacting to the Past Games 15%</w:t>
      </w:r>
    </w:p>
    <w:p w14:paraId="2EBE3111" w14:textId="77777777" w:rsidR="00E448A4" w:rsidRDefault="00402235">
      <w:pPr>
        <w:pStyle w:val="Body"/>
      </w:pPr>
      <w:r>
        <w:t>Nine Week Exam 25%</w:t>
      </w:r>
    </w:p>
    <w:p w14:paraId="516D1C76" w14:textId="77777777" w:rsidR="00E448A4" w:rsidRDefault="00E448A4">
      <w:pPr>
        <w:pStyle w:val="Body"/>
      </w:pPr>
    </w:p>
    <w:p w14:paraId="61E9B90D" w14:textId="77777777" w:rsidR="00E448A4" w:rsidRDefault="00402235">
      <w:pPr>
        <w:pStyle w:val="Body"/>
        <w:rPr>
          <w:b/>
          <w:bCs/>
          <w:sz w:val="24"/>
          <w:szCs w:val="24"/>
          <w:u w:val="single"/>
        </w:rPr>
      </w:pPr>
      <w:r>
        <w:rPr>
          <w:b/>
          <w:bCs/>
          <w:sz w:val="24"/>
          <w:szCs w:val="24"/>
          <w:u w:val="single"/>
        </w:rPr>
        <w:t>Required Supplies:</w:t>
      </w:r>
    </w:p>
    <w:p w14:paraId="5E6D0DEC" w14:textId="754A968D" w:rsidR="00E448A4" w:rsidRDefault="00514657">
      <w:pPr>
        <w:pStyle w:val="Body"/>
      </w:pPr>
      <w:r>
        <w:t xml:space="preserve">Sturdy </w:t>
      </w:r>
      <w:proofErr w:type="gramStart"/>
      <w:r>
        <w:t>2 inch</w:t>
      </w:r>
      <w:proofErr w:type="gramEnd"/>
      <w:r>
        <w:t xml:space="preserve"> binder with 7</w:t>
      </w:r>
      <w:r w:rsidR="00402235">
        <w:t xml:space="preserve"> divider tabs,</w:t>
      </w:r>
      <w:r w:rsidR="00C96AB5">
        <w:t xml:space="preserve"> p</w:t>
      </w:r>
      <w:r w:rsidR="00ED303C">
        <w:t xml:space="preserve">ost-it notes, </w:t>
      </w:r>
      <w:r w:rsidR="00402235">
        <w:t xml:space="preserve">highlighter markers, PENS (all work must be completed in blue or black pen), and a large packet of 4x6 index cards, </w:t>
      </w:r>
    </w:p>
    <w:p w14:paraId="358EC790" w14:textId="50F227D2" w:rsidR="004656DD" w:rsidRDefault="00402235">
      <w:pPr>
        <w:pStyle w:val="Body"/>
      </w:pPr>
      <w:r>
        <w:t xml:space="preserve">Divider tabs should be labeled: </w:t>
      </w:r>
      <w:r w:rsidR="00514657">
        <w:t xml:space="preserve">P1&amp;2, P3, P4, P5, P6, P7, </w:t>
      </w:r>
      <w:proofErr w:type="gramStart"/>
      <w:r w:rsidR="00514657">
        <w:t>P8</w:t>
      </w:r>
      <w:proofErr w:type="gramEnd"/>
      <w:r w:rsidR="00514657">
        <w:t xml:space="preserve">&amp;9. </w:t>
      </w:r>
    </w:p>
    <w:p w14:paraId="497E9130" w14:textId="77777777" w:rsidR="00ED303C" w:rsidRDefault="00ED303C">
      <w:pPr>
        <w:pStyle w:val="Body"/>
        <w:rPr>
          <w:b/>
          <w:u w:val="single"/>
        </w:rPr>
      </w:pPr>
    </w:p>
    <w:p w14:paraId="418ABD33" w14:textId="60650D97" w:rsidR="004656DD" w:rsidRPr="004656DD" w:rsidRDefault="004656DD">
      <w:pPr>
        <w:pStyle w:val="Body"/>
        <w:rPr>
          <w:b/>
          <w:u w:val="single"/>
        </w:rPr>
      </w:pPr>
      <w:r w:rsidRPr="004656DD">
        <w:rPr>
          <w:b/>
          <w:u w:val="single"/>
        </w:rPr>
        <w:t>Cell Phones</w:t>
      </w:r>
    </w:p>
    <w:p w14:paraId="028917DC" w14:textId="5734F744" w:rsidR="004656DD" w:rsidRDefault="004656DD">
      <w:pPr>
        <w:pStyle w:val="Body"/>
      </w:pPr>
      <w:r>
        <w:t xml:space="preserve">Students will not be permitted to use cell phones my class.  Students will lock their phones in a charging station at the beginning of class and will retrieve it at the conclusion of the class period.  Each locker is individually keyed, so phones will be secure during the class period.  If a student is found with a cell phone in class, it is an automatic referral.    </w:t>
      </w:r>
    </w:p>
    <w:p w14:paraId="7DEA26CF" w14:textId="77777777" w:rsidR="004656DD" w:rsidRDefault="004656DD">
      <w:pPr>
        <w:pStyle w:val="Body"/>
      </w:pPr>
    </w:p>
    <w:p w14:paraId="016674E0" w14:textId="77777777" w:rsidR="00E448A4" w:rsidRDefault="00402235">
      <w:pPr>
        <w:pStyle w:val="Body"/>
        <w:spacing w:after="60"/>
        <w:rPr>
          <w:b/>
          <w:bCs/>
          <w:sz w:val="24"/>
          <w:szCs w:val="24"/>
          <w:u w:val="single" w:color="000000"/>
        </w:rPr>
      </w:pPr>
      <w:r>
        <w:rPr>
          <w:b/>
          <w:bCs/>
          <w:sz w:val="24"/>
          <w:szCs w:val="24"/>
          <w:u w:val="single" w:color="000000"/>
        </w:rPr>
        <w:lastRenderedPageBreak/>
        <w:t>Class Rules:</w:t>
      </w:r>
    </w:p>
    <w:p w14:paraId="529E5525" w14:textId="77777777" w:rsidR="00E448A4" w:rsidRDefault="00402235">
      <w:pPr>
        <w:pStyle w:val="Body"/>
        <w:spacing w:after="60"/>
        <w:rPr>
          <w:u w:color="000000"/>
        </w:rPr>
      </w:pPr>
      <w:r>
        <w:rPr>
          <w:u w:color="000000"/>
        </w:rPr>
        <w:t>Be on time.</w:t>
      </w:r>
    </w:p>
    <w:p w14:paraId="1F355262" w14:textId="77777777" w:rsidR="00E448A4" w:rsidRDefault="00402235">
      <w:pPr>
        <w:pStyle w:val="Body"/>
        <w:spacing w:after="60"/>
        <w:rPr>
          <w:u w:color="000000"/>
        </w:rPr>
      </w:pPr>
      <w:r>
        <w:rPr>
          <w:u w:color="000000"/>
        </w:rPr>
        <w:t>Be prepared.</w:t>
      </w:r>
    </w:p>
    <w:p w14:paraId="5BA62DFA" w14:textId="77777777" w:rsidR="00E448A4" w:rsidRDefault="00402235">
      <w:pPr>
        <w:pStyle w:val="Body"/>
        <w:spacing w:after="60"/>
        <w:rPr>
          <w:u w:color="000000"/>
        </w:rPr>
      </w:pPr>
      <w:r>
        <w:rPr>
          <w:u w:color="000000"/>
        </w:rPr>
        <w:t>Be appropriate.</w:t>
      </w:r>
    </w:p>
    <w:p w14:paraId="113EA864" w14:textId="77777777" w:rsidR="00E448A4" w:rsidRDefault="00402235">
      <w:pPr>
        <w:pStyle w:val="Body"/>
        <w:spacing w:after="60"/>
        <w:rPr>
          <w:u w:color="000000"/>
        </w:rPr>
      </w:pPr>
      <w:r>
        <w:rPr>
          <w:u w:color="000000"/>
        </w:rPr>
        <w:t>All rules listed in the G.B.H.S. Code of Student Conduct apply.</w:t>
      </w:r>
    </w:p>
    <w:p w14:paraId="2BCEAC44" w14:textId="77777777" w:rsidR="00E448A4" w:rsidRDefault="00E448A4">
      <w:pPr>
        <w:pStyle w:val="Body"/>
        <w:spacing w:after="60"/>
        <w:rPr>
          <w:b/>
          <w:bCs/>
          <w:u w:val="single" w:color="000000"/>
        </w:rPr>
      </w:pPr>
    </w:p>
    <w:p w14:paraId="32B37F6D" w14:textId="77777777" w:rsidR="00E448A4" w:rsidRDefault="00402235">
      <w:pPr>
        <w:pStyle w:val="Body"/>
        <w:spacing w:after="60"/>
        <w:rPr>
          <w:b/>
          <w:bCs/>
          <w:sz w:val="24"/>
          <w:szCs w:val="24"/>
          <w:u w:val="single" w:color="000000"/>
        </w:rPr>
      </w:pPr>
      <w:r>
        <w:rPr>
          <w:b/>
          <w:bCs/>
          <w:sz w:val="24"/>
          <w:szCs w:val="24"/>
          <w:u w:val="single" w:color="000000"/>
        </w:rPr>
        <w:t>Consequences:</w:t>
      </w:r>
    </w:p>
    <w:p w14:paraId="2B2C4075" w14:textId="77777777" w:rsidR="00E448A4" w:rsidRDefault="00402235">
      <w:pPr>
        <w:pStyle w:val="Body"/>
        <w:spacing w:after="60"/>
        <w:rPr>
          <w:u w:color="000000"/>
        </w:rPr>
      </w:pPr>
      <w:r>
        <w:rPr>
          <w:b/>
          <w:bCs/>
          <w:u w:color="000000"/>
        </w:rPr>
        <w:t>Be on time:</w:t>
      </w:r>
      <w:r>
        <w:rPr>
          <w:u w:color="000000"/>
        </w:rPr>
        <w:t xml:space="preserve"> Students are allowed two </w:t>
      </w:r>
      <w:proofErr w:type="spellStart"/>
      <w:r>
        <w:rPr>
          <w:u w:color="000000"/>
        </w:rPr>
        <w:t>tardies</w:t>
      </w:r>
      <w:proofErr w:type="spellEnd"/>
      <w:r>
        <w:rPr>
          <w:u w:color="000000"/>
        </w:rPr>
        <w:t xml:space="preserve"> per nine week period without penalty.  After the first two </w:t>
      </w:r>
      <w:proofErr w:type="spellStart"/>
      <w:r>
        <w:rPr>
          <w:u w:color="000000"/>
        </w:rPr>
        <w:t>tardies</w:t>
      </w:r>
      <w:proofErr w:type="spellEnd"/>
      <w:r>
        <w:rPr>
          <w:u w:color="000000"/>
        </w:rPr>
        <w:t xml:space="preserve">, each subsequent tardy will result in a referral to the dean of students.  Regardless of the number of prior </w:t>
      </w:r>
      <w:proofErr w:type="spellStart"/>
      <w:r>
        <w:rPr>
          <w:u w:color="000000"/>
        </w:rPr>
        <w:t>tardies</w:t>
      </w:r>
      <w:proofErr w:type="spellEnd"/>
      <w:r>
        <w:rPr>
          <w:u w:color="000000"/>
        </w:rPr>
        <w:t xml:space="preserve">, if student arrives two minutes after the tardy bell, a referral and the student will be sent to Student Services.   </w:t>
      </w:r>
    </w:p>
    <w:p w14:paraId="5BB18365" w14:textId="77777777" w:rsidR="00E448A4" w:rsidRDefault="00402235">
      <w:pPr>
        <w:pStyle w:val="Body"/>
        <w:spacing w:after="60"/>
        <w:rPr>
          <w:u w:color="000000"/>
        </w:rPr>
      </w:pPr>
      <w:r>
        <w:rPr>
          <w:b/>
          <w:bCs/>
          <w:u w:color="000000"/>
        </w:rPr>
        <w:t>Be prepared:</w:t>
      </w:r>
      <w:r>
        <w:rPr>
          <w:u w:color="000000"/>
        </w:rPr>
        <w:t xml:space="preserve"> Students are expected to bring their notebook, pens, and assignments to </w:t>
      </w:r>
      <w:r>
        <w:rPr>
          <w:u w:val="single" w:color="000000"/>
        </w:rPr>
        <w:t>every</w:t>
      </w:r>
      <w:r>
        <w:rPr>
          <w:u w:color="000000"/>
        </w:rPr>
        <w:t xml:space="preserve"> class.  Late work is </w:t>
      </w:r>
      <w:r>
        <w:rPr>
          <w:u w:val="single" w:color="000000"/>
        </w:rPr>
        <w:t>not tolerated</w:t>
      </w:r>
      <w:r>
        <w:rPr>
          <w:u w:color="000000"/>
        </w:rPr>
        <w:t xml:space="preserve"> and will result in a zero.</w:t>
      </w:r>
    </w:p>
    <w:p w14:paraId="440AB10D" w14:textId="77777777" w:rsidR="00E448A4" w:rsidRDefault="00402235">
      <w:pPr>
        <w:pStyle w:val="Body"/>
        <w:spacing w:after="60"/>
        <w:rPr>
          <w:u w:color="000000"/>
        </w:rPr>
      </w:pPr>
      <w:r>
        <w:rPr>
          <w:b/>
          <w:bCs/>
          <w:u w:color="000000"/>
        </w:rPr>
        <w:t>Be appropriate:</w:t>
      </w:r>
      <w:r>
        <w:rPr>
          <w:u w:color="000000"/>
        </w:rPr>
        <w:t xml:space="preserve"> Students should refrain from talking when others are speaking.  Students are to respect the classroom environment by cleaning up behind themselves.  Students are permitted to drink water in class; however, food and drinks are disallowed.</w:t>
      </w:r>
    </w:p>
    <w:p w14:paraId="6937271F" w14:textId="77777777" w:rsidR="00E448A4" w:rsidRDefault="00402235">
      <w:pPr>
        <w:pStyle w:val="Body"/>
        <w:spacing w:after="60"/>
        <w:rPr>
          <w:b/>
          <w:bCs/>
          <w:u w:color="000000"/>
        </w:rPr>
      </w:pPr>
      <w:r>
        <w:rPr>
          <w:b/>
          <w:bCs/>
          <w:u w:color="000000"/>
        </w:rPr>
        <w:t xml:space="preserve">G.B.H.S. Code of Student Conduct will be strictly adhered to.  </w:t>
      </w:r>
    </w:p>
    <w:p w14:paraId="03E4C395" w14:textId="77777777" w:rsidR="00E448A4" w:rsidRDefault="00E448A4">
      <w:pPr>
        <w:pStyle w:val="Body"/>
        <w:spacing w:after="60"/>
        <w:rPr>
          <w:b/>
          <w:bCs/>
          <w:u w:color="000000"/>
        </w:rPr>
      </w:pPr>
    </w:p>
    <w:p w14:paraId="7A2FCD25" w14:textId="41067B1A" w:rsidR="00E448A4" w:rsidRDefault="00ED303C">
      <w:pPr>
        <w:pStyle w:val="Body"/>
        <w:spacing w:line="276" w:lineRule="auto"/>
        <w:rPr>
          <w:b/>
          <w:bCs/>
          <w:sz w:val="24"/>
          <w:szCs w:val="24"/>
          <w:u w:val="single" w:color="000000"/>
        </w:rPr>
      </w:pPr>
      <w:proofErr w:type="spellStart"/>
      <w:r>
        <w:rPr>
          <w:b/>
          <w:bCs/>
          <w:sz w:val="24"/>
          <w:szCs w:val="24"/>
          <w:u w:val="single" w:color="000000"/>
        </w:rPr>
        <w:t>Classlink</w:t>
      </w:r>
      <w:proofErr w:type="spellEnd"/>
      <w:r w:rsidR="00402235">
        <w:rPr>
          <w:b/>
          <w:bCs/>
          <w:sz w:val="24"/>
          <w:szCs w:val="24"/>
          <w:u w:val="single" w:color="000000"/>
        </w:rPr>
        <w:t>:</w:t>
      </w:r>
    </w:p>
    <w:p w14:paraId="16DDF01E" w14:textId="019C9425" w:rsidR="00E448A4" w:rsidRDefault="00402235">
      <w:pPr>
        <w:pStyle w:val="Body"/>
        <w:rPr>
          <w:u w:color="000000"/>
        </w:rPr>
      </w:pPr>
      <w:r>
        <w:rPr>
          <w:u w:color="000000"/>
        </w:rPr>
        <w:t xml:space="preserve">GBHS has 24/7 </w:t>
      </w:r>
      <w:proofErr w:type="gramStart"/>
      <w:r>
        <w:rPr>
          <w:u w:color="000000"/>
        </w:rPr>
        <w:t>access</w:t>
      </w:r>
      <w:proofErr w:type="gramEnd"/>
      <w:r>
        <w:rPr>
          <w:u w:color="000000"/>
        </w:rPr>
        <w:t xml:space="preserve"> to student</w:t>
      </w:r>
      <w:r>
        <w:rPr>
          <w:rFonts w:hAnsi="Helvetica"/>
          <w:u w:color="000000"/>
        </w:rPr>
        <w:t>’</w:t>
      </w:r>
      <w:r>
        <w:rPr>
          <w:u w:color="000000"/>
        </w:rPr>
        <w:t xml:space="preserve">s grades, performance, and attendance via our </w:t>
      </w:r>
      <w:proofErr w:type="spellStart"/>
      <w:r w:rsidR="00ED303C">
        <w:rPr>
          <w:u w:color="000000"/>
        </w:rPr>
        <w:t>Classlink</w:t>
      </w:r>
      <w:proofErr w:type="spellEnd"/>
      <w:r>
        <w:rPr>
          <w:u w:color="000000"/>
        </w:rPr>
        <w:t>.</w:t>
      </w:r>
      <w:r>
        <w:rPr>
          <w:rFonts w:hAnsi="Helvetica"/>
          <w:u w:color="000000"/>
        </w:rPr>
        <w:t xml:space="preserve">  </w:t>
      </w:r>
      <w:r>
        <w:rPr>
          <w:u w:color="000000"/>
        </w:rPr>
        <w:t>A</w:t>
      </w:r>
      <w:r w:rsidR="00ED303C">
        <w:rPr>
          <w:u w:color="000000"/>
        </w:rPr>
        <w:t xml:space="preserve"> student identification number </w:t>
      </w:r>
      <w:r>
        <w:rPr>
          <w:u w:color="000000"/>
        </w:rPr>
        <w:t>and PIN are needed for access.</w:t>
      </w:r>
      <w:r w:rsidR="00ED303C">
        <w:rPr>
          <w:rFonts w:hAnsi="Helvetica"/>
          <w:u w:color="000000"/>
        </w:rPr>
        <w:t xml:space="preserve"> </w:t>
      </w:r>
      <w:r>
        <w:rPr>
          <w:u w:color="000000"/>
        </w:rPr>
        <w:t>The</w:t>
      </w:r>
      <w:r>
        <w:rPr>
          <w:rFonts w:hAnsi="Helvetica"/>
          <w:u w:color="000000"/>
        </w:rPr>
        <w:t> </w:t>
      </w:r>
      <w:proofErr w:type="spellStart"/>
      <w:r w:rsidR="00ED303C">
        <w:rPr>
          <w:u w:color="000000"/>
        </w:rPr>
        <w:t>Classlink</w:t>
      </w:r>
      <w:proofErr w:type="spellEnd"/>
      <w:r w:rsidR="00ED303C">
        <w:rPr>
          <w:u w:color="000000"/>
        </w:rPr>
        <w:t xml:space="preserve"> </w:t>
      </w:r>
      <w:r>
        <w:rPr>
          <w:u w:color="000000"/>
        </w:rPr>
        <w:t>is accessed via our school website</w:t>
      </w:r>
      <w:proofErr w:type="gramStart"/>
      <w:r>
        <w:rPr>
          <w:u w:color="000000"/>
        </w:rPr>
        <w:t>:</w:t>
      </w:r>
      <w:r>
        <w:rPr>
          <w:rFonts w:hAnsi="Helvetica"/>
          <w:u w:color="000000"/>
        </w:rPr>
        <w:t xml:space="preserve">  </w:t>
      </w:r>
      <w:proofErr w:type="gramEnd"/>
      <w:r w:rsidR="00ED303C">
        <w:fldChar w:fldCharType="begin"/>
      </w:r>
      <w:r w:rsidR="00ED303C">
        <w:instrText xml:space="preserve"> HYPERLINK "http://www.gulfbreezehighschool.com" </w:instrText>
      </w:r>
      <w:r w:rsidR="00ED303C">
        <w:fldChar w:fldCharType="separate"/>
      </w:r>
      <w:r w:rsidR="00ED303C" w:rsidRPr="00164447">
        <w:rPr>
          <w:rStyle w:val="Hyperlink"/>
        </w:rPr>
        <w:t>www.gulfbreezehighschool.com</w:t>
      </w:r>
      <w:r w:rsidR="00ED303C">
        <w:fldChar w:fldCharType="end"/>
      </w:r>
      <w:r w:rsidR="00ED303C">
        <w:rPr>
          <w:rFonts w:hAnsi="Helvetica"/>
          <w:u w:color="000000"/>
        </w:rPr>
        <w:t xml:space="preserve">. </w:t>
      </w:r>
      <w:r>
        <w:rPr>
          <w:u w:color="000000"/>
        </w:rPr>
        <w:t>If you have technical difficulties, contact Ang</w:t>
      </w:r>
      <w:r w:rsidR="00EB41C8">
        <w:rPr>
          <w:u w:color="000000"/>
        </w:rPr>
        <w:t xml:space="preserve">el Humphreys at 850-916-4129 or </w:t>
      </w:r>
      <w:hyperlink r:id="rId8" w:history="1">
        <w:r w:rsidR="00C96AB5" w:rsidRPr="00B764B2">
          <w:rPr>
            <w:rStyle w:val="Hyperlink"/>
            <w:u w:color="0000FF"/>
          </w:rPr>
          <w:t>humphreysa@santarosa.k12.fl.us</w:t>
        </w:r>
      </w:hyperlink>
      <w:r>
        <w:rPr>
          <w:u w:color="000000"/>
        </w:rPr>
        <w:t>.</w:t>
      </w:r>
      <w:r>
        <w:rPr>
          <w:rFonts w:hAnsi="Helvetica"/>
          <w:u w:color="000000"/>
        </w:rPr>
        <w:t xml:space="preserve">  </w:t>
      </w:r>
    </w:p>
    <w:p w14:paraId="5B51631F" w14:textId="77777777" w:rsidR="00E448A4" w:rsidRDefault="00E448A4">
      <w:pPr>
        <w:pStyle w:val="Body"/>
      </w:pPr>
    </w:p>
    <w:p w14:paraId="5C548D41" w14:textId="77777777" w:rsidR="00E448A4" w:rsidRDefault="00402235">
      <w:pPr>
        <w:pStyle w:val="Body"/>
        <w:rPr>
          <w:b/>
          <w:bCs/>
          <w:sz w:val="24"/>
          <w:szCs w:val="24"/>
          <w:u w:val="single"/>
        </w:rPr>
      </w:pPr>
      <w:r>
        <w:rPr>
          <w:b/>
          <w:bCs/>
          <w:sz w:val="24"/>
          <w:szCs w:val="24"/>
          <w:u w:val="single"/>
        </w:rPr>
        <w:t>Primary Textbook</w:t>
      </w:r>
    </w:p>
    <w:p w14:paraId="32BBCD28" w14:textId="2703D523" w:rsidR="00E448A4" w:rsidRDefault="00402235">
      <w:pPr>
        <w:pStyle w:val="Body"/>
      </w:pPr>
      <w:r>
        <w:rPr>
          <w:i/>
          <w:iCs/>
        </w:rPr>
        <w:t>The American Pageant</w:t>
      </w:r>
      <w:r>
        <w:t>, David M. Kennedy, Lizabeth</w:t>
      </w:r>
      <w:r w:rsidR="00C96AB5">
        <w:t xml:space="preserve"> Cohen, and Thomas A. Bailey, 15</w:t>
      </w:r>
      <w:r>
        <w:t>th ed., Wadsworth/Cengage, 2010.</w:t>
      </w:r>
    </w:p>
    <w:p w14:paraId="69BA4980" w14:textId="77777777" w:rsidR="00E448A4" w:rsidRDefault="00E448A4">
      <w:pPr>
        <w:pStyle w:val="Body"/>
      </w:pPr>
    </w:p>
    <w:p w14:paraId="2AA2A8C4" w14:textId="77777777" w:rsidR="00E448A4" w:rsidRDefault="00E448A4">
      <w:pPr>
        <w:pStyle w:val="Body"/>
      </w:pPr>
    </w:p>
    <w:p w14:paraId="3D3124F2" w14:textId="77777777" w:rsidR="00E448A4" w:rsidRDefault="00402235">
      <w:pPr>
        <w:pStyle w:val="Body"/>
        <w:rPr>
          <w:b/>
          <w:bCs/>
          <w:sz w:val="24"/>
          <w:szCs w:val="24"/>
          <w:u w:val="single"/>
        </w:rPr>
      </w:pPr>
      <w:r>
        <w:rPr>
          <w:b/>
          <w:bCs/>
          <w:sz w:val="24"/>
          <w:szCs w:val="24"/>
          <w:u w:val="single"/>
        </w:rPr>
        <w:t>Primary Sources</w:t>
      </w:r>
    </w:p>
    <w:p w14:paraId="2163252B" w14:textId="77777777" w:rsidR="00E448A4" w:rsidRDefault="00E448A4">
      <w:pPr>
        <w:pStyle w:val="Body"/>
        <w:rPr>
          <w:b/>
          <w:bCs/>
        </w:rPr>
      </w:pPr>
    </w:p>
    <w:p w14:paraId="7395A082" w14:textId="77777777" w:rsidR="00E448A4" w:rsidRDefault="00402235">
      <w:pPr>
        <w:pStyle w:val="Body"/>
      </w:pPr>
      <w:r>
        <w:rPr>
          <w:i/>
          <w:iCs/>
        </w:rPr>
        <w:t>Opposing Viewpoints, Vol. 1 &amp; 2</w:t>
      </w:r>
      <w:r>
        <w:t>, William Dudley and Thomson Gale, 2007.</w:t>
      </w:r>
    </w:p>
    <w:p w14:paraId="4E3B9CC7" w14:textId="77777777" w:rsidR="00E448A4" w:rsidRDefault="00E448A4">
      <w:pPr>
        <w:pStyle w:val="Body"/>
      </w:pPr>
    </w:p>
    <w:p w14:paraId="5FFA5A61" w14:textId="77777777" w:rsidR="00E448A4" w:rsidRDefault="00402235">
      <w:pPr>
        <w:pStyle w:val="Body"/>
      </w:pPr>
      <w:r>
        <w:rPr>
          <w:i/>
          <w:iCs/>
        </w:rPr>
        <w:t>The American Spirit: United States History as Seen by Contemporaries, Vol. 1 &amp; 2</w:t>
      </w:r>
      <w:r>
        <w:t>, Thomas A. Bailey and David M. Kennedy, 6th ed., D.C. Health &amp; Co., 1987.</w:t>
      </w:r>
    </w:p>
    <w:p w14:paraId="226A1E25" w14:textId="77777777" w:rsidR="00E448A4" w:rsidRDefault="00E448A4">
      <w:pPr>
        <w:pStyle w:val="Body"/>
      </w:pPr>
    </w:p>
    <w:p w14:paraId="5C13424A" w14:textId="77777777" w:rsidR="00E448A4" w:rsidRDefault="00402235">
      <w:pPr>
        <w:pStyle w:val="Body"/>
      </w:pPr>
      <w:r>
        <w:rPr>
          <w:i/>
          <w:iCs/>
        </w:rPr>
        <w:t>American Progressivism</w:t>
      </w:r>
      <w:r>
        <w:t xml:space="preserve">, Ronald </w:t>
      </w:r>
      <w:proofErr w:type="spellStart"/>
      <w:r>
        <w:t>Pestritto</w:t>
      </w:r>
      <w:proofErr w:type="spellEnd"/>
      <w:r>
        <w:t xml:space="preserve"> and William </w:t>
      </w:r>
      <w:proofErr w:type="spellStart"/>
      <w:r>
        <w:t>Atto</w:t>
      </w:r>
      <w:proofErr w:type="spellEnd"/>
      <w:r>
        <w:t xml:space="preserve">, Lexington Books, 2008.  </w:t>
      </w:r>
    </w:p>
    <w:p w14:paraId="69E2EA58" w14:textId="77777777" w:rsidR="00E448A4" w:rsidRDefault="00E448A4">
      <w:pPr>
        <w:pStyle w:val="Body"/>
      </w:pPr>
    </w:p>
    <w:p w14:paraId="41452D87" w14:textId="77777777" w:rsidR="00E448A4" w:rsidRDefault="00402235">
      <w:pPr>
        <w:pStyle w:val="Body"/>
      </w:pPr>
      <w:r>
        <w:rPr>
          <w:i/>
          <w:iCs/>
        </w:rPr>
        <w:t>William Lloyd Garrison and the Fight against Slavery, Selections from The Liberator</w:t>
      </w:r>
      <w:r>
        <w:t>, William E. Cain, Bedford Books of St. Martin</w:t>
      </w:r>
      <w:r>
        <w:rPr>
          <w:rFonts w:ascii="Arial Unicode MS" w:hAnsi="Helvetica"/>
        </w:rPr>
        <w:t>’</w:t>
      </w:r>
      <w:r>
        <w:t>s Press, 1995.</w:t>
      </w:r>
    </w:p>
    <w:p w14:paraId="15F05BAD" w14:textId="77777777" w:rsidR="00E448A4" w:rsidRDefault="00E448A4">
      <w:pPr>
        <w:pStyle w:val="Body"/>
      </w:pPr>
    </w:p>
    <w:p w14:paraId="40F9C833" w14:textId="77777777" w:rsidR="00E448A4" w:rsidRDefault="00402235">
      <w:pPr>
        <w:pStyle w:val="Body"/>
      </w:pPr>
      <w:r>
        <w:rPr>
          <w:i/>
          <w:iCs/>
        </w:rPr>
        <w:t>Ordinary Americans, U.S. History Through the Eyes of Everyday People</w:t>
      </w:r>
      <w:r>
        <w:t xml:space="preserve">, 2nd ed., Linda R. Monk, Close Up Publishing, 2003.  </w:t>
      </w:r>
    </w:p>
    <w:p w14:paraId="498229E3" w14:textId="77777777" w:rsidR="00E448A4" w:rsidRDefault="00E448A4">
      <w:pPr>
        <w:pStyle w:val="Body"/>
      </w:pPr>
    </w:p>
    <w:p w14:paraId="218DCFBF" w14:textId="77777777" w:rsidR="00E448A4" w:rsidRDefault="00402235">
      <w:pPr>
        <w:pStyle w:val="Body"/>
      </w:pPr>
      <w:proofErr w:type="gramStart"/>
      <w:r>
        <w:rPr>
          <w:i/>
          <w:iCs/>
        </w:rPr>
        <w:lastRenderedPageBreak/>
        <w:t>Letters of a Nation, A Collection of Extraordinary American Letters</w:t>
      </w:r>
      <w:r>
        <w:t>, Andrew Carroll, Broadway Books, 1997.</w:t>
      </w:r>
      <w:proofErr w:type="gramEnd"/>
      <w:r>
        <w:t xml:space="preserve"> </w:t>
      </w:r>
    </w:p>
    <w:p w14:paraId="5867838A" w14:textId="77777777" w:rsidR="00E448A4" w:rsidRDefault="00E448A4">
      <w:pPr>
        <w:pStyle w:val="Body"/>
      </w:pPr>
    </w:p>
    <w:p w14:paraId="7C1BACB8" w14:textId="77777777" w:rsidR="00C96AB5" w:rsidRDefault="00C96AB5">
      <w:pPr>
        <w:pStyle w:val="Body"/>
        <w:rPr>
          <w:b/>
          <w:bCs/>
          <w:sz w:val="24"/>
          <w:szCs w:val="24"/>
          <w:u w:val="single"/>
        </w:rPr>
      </w:pPr>
    </w:p>
    <w:p w14:paraId="034CFDC9" w14:textId="77777777" w:rsidR="00E448A4" w:rsidRDefault="00402235">
      <w:pPr>
        <w:pStyle w:val="Body"/>
        <w:rPr>
          <w:b/>
          <w:bCs/>
          <w:sz w:val="24"/>
          <w:szCs w:val="24"/>
          <w:u w:val="single"/>
        </w:rPr>
      </w:pPr>
      <w:r>
        <w:rPr>
          <w:b/>
          <w:bCs/>
          <w:sz w:val="24"/>
          <w:szCs w:val="24"/>
          <w:u w:val="single"/>
        </w:rPr>
        <w:t>Secondary Sources</w:t>
      </w:r>
    </w:p>
    <w:p w14:paraId="3BB0CAA2" w14:textId="77777777" w:rsidR="00E448A4" w:rsidRDefault="00E448A4">
      <w:pPr>
        <w:pStyle w:val="Body"/>
      </w:pPr>
    </w:p>
    <w:p w14:paraId="085A6EB1" w14:textId="77777777" w:rsidR="00E448A4" w:rsidRDefault="00402235">
      <w:pPr>
        <w:pStyle w:val="Body"/>
      </w:pPr>
      <w:r>
        <w:rPr>
          <w:i/>
          <w:iCs/>
        </w:rPr>
        <w:t>Apostles of Disunion, Southern Secession Commissioners and the Causes of the Civil War,</w:t>
      </w:r>
      <w:r>
        <w:t xml:space="preserve"> Charles B. Dew, University of Virginia Press, 2001.</w:t>
      </w:r>
    </w:p>
    <w:p w14:paraId="10552B82" w14:textId="77777777" w:rsidR="00E448A4" w:rsidRDefault="00E448A4">
      <w:pPr>
        <w:pStyle w:val="Body"/>
      </w:pPr>
    </w:p>
    <w:p w14:paraId="2E72DE56" w14:textId="77777777" w:rsidR="00E448A4" w:rsidRDefault="00402235">
      <w:pPr>
        <w:pStyle w:val="Body"/>
      </w:pPr>
      <w:r>
        <w:rPr>
          <w:i/>
          <w:iCs/>
        </w:rPr>
        <w:t>A People</w:t>
      </w:r>
      <w:r>
        <w:rPr>
          <w:rFonts w:ascii="Arial Unicode MS" w:hAnsi="Helvetica"/>
          <w:i/>
          <w:iCs/>
        </w:rPr>
        <w:t>’</w:t>
      </w:r>
      <w:r>
        <w:rPr>
          <w:i/>
          <w:iCs/>
        </w:rPr>
        <w:t>s History of the United States 1492 - Present</w:t>
      </w:r>
      <w:r>
        <w:t>, Howard Zinn, Perennial Classics edition</w:t>
      </w:r>
      <w:proofErr w:type="gramStart"/>
      <w:r>
        <w:t>,  2001</w:t>
      </w:r>
      <w:proofErr w:type="gramEnd"/>
      <w:r>
        <w:t xml:space="preserve">.  </w:t>
      </w:r>
    </w:p>
    <w:p w14:paraId="07C8675B" w14:textId="77777777" w:rsidR="00E448A4" w:rsidRDefault="00E448A4">
      <w:pPr>
        <w:pStyle w:val="Body"/>
      </w:pPr>
    </w:p>
    <w:p w14:paraId="2E31C6EE" w14:textId="77777777" w:rsidR="00E448A4" w:rsidRDefault="00402235">
      <w:pPr>
        <w:pStyle w:val="Body"/>
      </w:pPr>
      <w:r>
        <w:rPr>
          <w:i/>
          <w:iCs/>
        </w:rPr>
        <w:t>A Patriot</w:t>
      </w:r>
      <w:r>
        <w:rPr>
          <w:rFonts w:ascii="Arial Unicode MS" w:hAnsi="Helvetica"/>
          <w:i/>
          <w:iCs/>
        </w:rPr>
        <w:t>’</w:t>
      </w:r>
      <w:r>
        <w:rPr>
          <w:i/>
          <w:iCs/>
        </w:rPr>
        <w:t>s History of the United States: From Columbus's Great Discovery to the War on Terror</w:t>
      </w:r>
      <w:r>
        <w:t xml:space="preserve">, </w:t>
      </w:r>
    </w:p>
    <w:p w14:paraId="46A96D21" w14:textId="77777777" w:rsidR="00E448A4" w:rsidRDefault="00402235">
      <w:pPr>
        <w:pStyle w:val="Body"/>
      </w:pPr>
      <w:r>
        <w:rPr>
          <w:lang w:val="de-DE"/>
        </w:rPr>
        <w:t>Larry Schweikart</w:t>
      </w:r>
      <w:r>
        <w:t xml:space="preserve"> and Michael Allen, Sentinel 2007. </w:t>
      </w:r>
    </w:p>
    <w:p w14:paraId="6CCC6E91" w14:textId="77777777" w:rsidR="00E448A4" w:rsidRDefault="00E448A4">
      <w:pPr>
        <w:pStyle w:val="Body"/>
      </w:pPr>
    </w:p>
    <w:p w14:paraId="79BA99DF" w14:textId="77777777" w:rsidR="00E448A4" w:rsidRDefault="00402235">
      <w:pPr>
        <w:pStyle w:val="Body"/>
      </w:pPr>
      <w:r>
        <w:rPr>
          <w:i/>
          <w:iCs/>
        </w:rPr>
        <w:t>Patriots, Loyalists, and Revolution in New York City, 1775-1776</w:t>
      </w:r>
      <w:r>
        <w:t xml:space="preserve">, Bill Offutt, Barnard Reacting to the Past, W.W. Norton &amp; Company, 2011.  </w:t>
      </w:r>
    </w:p>
    <w:p w14:paraId="06AE011E" w14:textId="77777777" w:rsidR="00E448A4" w:rsidRDefault="00E448A4">
      <w:pPr>
        <w:pStyle w:val="Body"/>
      </w:pPr>
    </w:p>
    <w:p w14:paraId="5C6D8E2D" w14:textId="77777777" w:rsidR="00E448A4" w:rsidRDefault="00402235">
      <w:pPr>
        <w:pStyle w:val="Body"/>
      </w:pPr>
      <w:proofErr w:type="gramStart"/>
      <w:r>
        <w:rPr>
          <w:i/>
          <w:iCs/>
        </w:rPr>
        <w:t>Crisis and Command, A History of Executive Power From George Washington to the Present</w:t>
      </w:r>
      <w:r>
        <w:t xml:space="preserve">, John </w:t>
      </w:r>
      <w:proofErr w:type="spellStart"/>
      <w:r>
        <w:t>Yoo</w:t>
      </w:r>
      <w:proofErr w:type="spellEnd"/>
      <w:r>
        <w:t>, Kaplan Publishing, 2011.</w:t>
      </w:r>
      <w:proofErr w:type="gramEnd"/>
      <w:r>
        <w:t xml:space="preserve">  </w:t>
      </w:r>
    </w:p>
    <w:p w14:paraId="71F4299D" w14:textId="77777777" w:rsidR="00E448A4" w:rsidRDefault="00E448A4">
      <w:pPr>
        <w:pStyle w:val="Body"/>
        <w:rPr>
          <w:b/>
          <w:bCs/>
        </w:rPr>
      </w:pPr>
    </w:p>
    <w:p w14:paraId="3EED6100" w14:textId="77777777" w:rsidR="00E448A4" w:rsidRDefault="00E448A4">
      <w:pPr>
        <w:pStyle w:val="Body"/>
      </w:pPr>
    </w:p>
    <w:p w14:paraId="33AF054F" w14:textId="77777777" w:rsidR="00E448A4" w:rsidRDefault="00E448A4">
      <w:pPr>
        <w:pStyle w:val="Body"/>
      </w:pPr>
    </w:p>
    <w:p w14:paraId="5C6B660A" w14:textId="77777777" w:rsidR="00E448A4" w:rsidRDefault="00E448A4">
      <w:pPr>
        <w:pStyle w:val="Body"/>
      </w:pPr>
    </w:p>
    <w:sectPr w:rsidR="00E448A4">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64F1A" w14:textId="77777777" w:rsidR="00514657" w:rsidRDefault="00514657">
      <w:r>
        <w:separator/>
      </w:r>
    </w:p>
  </w:endnote>
  <w:endnote w:type="continuationSeparator" w:id="0">
    <w:p w14:paraId="5F427CF2" w14:textId="77777777" w:rsidR="00514657" w:rsidRDefault="0051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D6DD" w14:textId="77777777" w:rsidR="00514657" w:rsidRDefault="0051465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66C45" w14:textId="77777777" w:rsidR="00514657" w:rsidRDefault="00514657">
      <w:r>
        <w:separator/>
      </w:r>
    </w:p>
  </w:footnote>
  <w:footnote w:type="continuationSeparator" w:id="0">
    <w:p w14:paraId="23D198E2" w14:textId="77777777" w:rsidR="00514657" w:rsidRDefault="005146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A6296" w14:textId="77777777" w:rsidR="00514657" w:rsidRDefault="0051465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795"/>
    <w:multiLevelType w:val="multilevel"/>
    <w:tmpl w:val="FD3EC0E8"/>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nsid w:val="0FBC57DC"/>
    <w:multiLevelType w:val="multilevel"/>
    <w:tmpl w:val="C5EEF4AA"/>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nsid w:val="197137BD"/>
    <w:multiLevelType w:val="multilevel"/>
    <w:tmpl w:val="23641C8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
    <w:nsid w:val="3DD83DBE"/>
    <w:multiLevelType w:val="multilevel"/>
    <w:tmpl w:val="9F86858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4">
    <w:nsid w:val="416E49AB"/>
    <w:multiLevelType w:val="multilevel"/>
    <w:tmpl w:val="B5CA9BC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5">
    <w:nsid w:val="5C3826C4"/>
    <w:multiLevelType w:val="multilevel"/>
    <w:tmpl w:val="C85E76E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6">
    <w:nsid w:val="663F4333"/>
    <w:multiLevelType w:val="multilevel"/>
    <w:tmpl w:val="9AFE6E5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7">
    <w:nsid w:val="6F7F1C8F"/>
    <w:multiLevelType w:val="multilevel"/>
    <w:tmpl w:val="93D61F9C"/>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A4"/>
    <w:rsid w:val="00402235"/>
    <w:rsid w:val="004656DD"/>
    <w:rsid w:val="00514657"/>
    <w:rsid w:val="00B41ECE"/>
    <w:rsid w:val="00C96AB5"/>
    <w:rsid w:val="00E448A4"/>
    <w:rsid w:val="00EB41C8"/>
    <w:rsid w:val="00ED303C"/>
    <w:rsid w:val="00F52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5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Big">
    <w:name w:val="Bullet Big"/>
    <w:pPr>
      <w:numPr>
        <w:numId w:val="8"/>
      </w:numPr>
    </w:pPr>
  </w:style>
  <w:style w:type="character" w:customStyle="1" w:styleId="Link">
    <w:name w:val="Link"/>
    <w:rPr>
      <w:u w:val="single"/>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EB4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1C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Big">
    <w:name w:val="Bullet Big"/>
    <w:pPr>
      <w:numPr>
        <w:numId w:val="8"/>
      </w:numPr>
    </w:pPr>
  </w:style>
  <w:style w:type="character" w:customStyle="1" w:styleId="Link">
    <w:name w:val="Link"/>
    <w:rPr>
      <w:u w:val="single"/>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EB4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umphreysa@santarosa.k12.fl.us"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1100</Words>
  <Characters>6272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Amy E.</dc:creator>
  <cp:lastModifiedBy>Amy Parker</cp:lastModifiedBy>
  <cp:revision>2</cp:revision>
  <cp:lastPrinted>2016-08-08T17:23:00Z</cp:lastPrinted>
  <dcterms:created xsi:type="dcterms:W3CDTF">2017-08-01T22:05:00Z</dcterms:created>
  <dcterms:modified xsi:type="dcterms:W3CDTF">2017-08-01T22:05:00Z</dcterms:modified>
</cp:coreProperties>
</file>